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69" w:type="dxa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9"/>
        <w:gridCol w:w="5920"/>
      </w:tblGrid>
      <w:tr w:rsidR="00661F35" w:rsidTr="00221DA0">
        <w:tc>
          <w:tcPr>
            <w:tcW w:w="4549" w:type="dxa"/>
          </w:tcPr>
          <w:p w:rsidR="00661F35" w:rsidRPr="00661F35" w:rsidRDefault="00661F35" w:rsidP="00661F35">
            <w:pPr>
              <w:jc w:val="center"/>
              <w:rPr>
                <w:sz w:val="26"/>
                <w:szCs w:val="26"/>
              </w:rPr>
            </w:pPr>
            <w:r w:rsidRPr="00661F35">
              <w:rPr>
                <w:sz w:val="26"/>
                <w:szCs w:val="26"/>
              </w:rPr>
              <w:t>ỦY BAN NHÂN DÂN QUẬN 9</w:t>
            </w:r>
          </w:p>
          <w:p w:rsidR="00661F35" w:rsidRPr="00661F35" w:rsidRDefault="00661F35" w:rsidP="00661F35">
            <w:pPr>
              <w:jc w:val="center"/>
              <w:rPr>
                <w:b/>
                <w:sz w:val="26"/>
                <w:szCs w:val="26"/>
              </w:rPr>
            </w:pPr>
            <w:r w:rsidRPr="00661F35">
              <w:rPr>
                <w:b/>
                <w:sz w:val="26"/>
                <w:szCs w:val="26"/>
              </w:rPr>
              <w:t>PHÒNG GIÁO DỤC VÀ ĐÀO TẠO</w:t>
            </w:r>
          </w:p>
          <w:p w:rsidR="00661F35" w:rsidRDefault="00F810D6" w:rsidP="00661F3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.05pt;margin-top:1.6pt;width:154.5pt;height:0;z-index:251658240" o:connectortype="straight"/>
              </w:pict>
            </w:r>
          </w:p>
        </w:tc>
        <w:tc>
          <w:tcPr>
            <w:tcW w:w="5920" w:type="dxa"/>
          </w:tcPr>
          <w:p w:rsidR="00661F35" w:rsidRPr="00661F35" w:rsidRDefault="00661F35" w:rsidP="00661F35">
            <w:pPr>
              <w:jc w:val="center"/>
              <w:rPr>
                <w:b/>
                <w:sz w:val="26"/>
                <w:szCs w:val="26"/>
              </w:rPr>
            </w:pPr>
            <w:r w:rsidRPr="00661F35">
              <w:rPr>
                <w:b/>
                <w:sz w:val="26"/>
                <w:szCs w:val="26"/>
              </w:rPr>
              <w:t>CỘNG HÒA XÃ HỘI CHỦ NGHĨA VIỆT NAM</w:t>
            </w:r>
          </w:p>
          <w:p w:rsidR="00661F35" w:rsidRPr="00661F35" w:rsidRDefault="00661F35" w:rsidP="00661F35">
            <w:pPr>
              <w:jc w:val="center"/>
              <w:rPr>
                <w:b/>
                <w:sz w:val="28"/>
                <w:szCs w:val="28"/>
              </w:rPr>
            </w:pPr>
            <w:r w:rsidRPr="00661F35">
              <w:rPr>
                <w:b/>
                <w:sz w:val="28"/>
                <w:szCs w:val="28"/>
              </w:rPr>
              <w:t>Độc lập – Tự do – Hạnh phúc</w:t>
            </w:r>
          </w:p>
          <w:p w:rsidR="00661F35" w:rsidRDefault="00F810D6" w:rsidP="00661F3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left:0;text-align:left;margin-left:59.35pt;margin-top:1.6pt;width:171.75pt;height:0;z-index:251659264" o:connectortype="straight"/>
              </w:pict>
            </w:r>
          </w:p>
        </w:tc>
      </w:tr>
      <w:tr w:rsidR="00661F35" w:rsidTr="00221DA0">
        <w:tc>
          <w:tcPr>
            <w:tcW w:w="4549" w:type="dxa"/>
          </w:tcPr>
          <w:p w:rsidR="00661F35" w:rsidRPr="00661F35" w:rsidRDefault="00661F35" w:rsidP="00647BCB">
            <w:pPr>
              <w:jc w:val="center"/>
              <w:rPr>
                <w:sz w:val="26"/>
                <w:szCs w:val="26"/>
              </w:rPr>
            </w:pPr>
            <w:r w:rsidRPr="00661F35">
              <w:rPr>
                <w:sz w:val="26"/>
                <w:szCs w:val="26"/>
              </w:rPr>
              <w:t xml:space="preserve">Số: </w:t>
            </w:r>
            <w:r w:rsidR="00647BCB">
              <w:rPr>
                <w:sz w:val="26"/>
                <w:szCs w:val="26"/>
              </w:rPr>
              <w:t>839</w:t>
            </w:r>
            <w:r w:rsidRPr="00661F35">
              <w:rPr>
                <w:sz w:val="26"/>
                <w:szCs w:val="26"/>
              </w:rPr>
              <w:t xml:space="preserve"> /GDĐT-YT</w:t>
            </w:r>
          </w:p>
        </w:tc>
        <w:tc>
          <w:tcPr>
            <w:tcW w:w="5920" w:type="dxa"/>
          </w:tcPr>
          <w:p w:rsidR="00661F35" w:rsidRPr="00661F35" w:rsidRDefault="00661F35" w:rsidP="00661F35">
            <w:pPr>
              <w:jc w:val="center"/>
              <w:rPr>
                <w:i/>
                <w:sz w:val="26"/>
                <w:szCs w:val="26"/>
              </w:rPr>
            </w:pPr>
            <w:r w:rsidRPr="00661F35">
              <w:rPr>
                <w:i/>
                <w:sz w:val="26"/>
                <w:szCs w:val="26"/>
              </w:rPr>
              <w:t>Quận 9, ngày 29 tháng 9 năm 2015</w:t>
            </w:r>
          </w:p>
        </w:tc>
      </w:tr>
      <w:tr w:rsidR="00661F35" w:rsidTr="00221DA0">
        <w:tc>
          <w:tcPr>
            <w:tcW w:w="4549" w:type="dxa"/>
          </w:tcPr>
          <w:p w:rsidR="00661F35" w:rsidRPr="00661F35" w:rsidRDefault="00661F35" w:rsidP="00661F35">
            <w:pPr>
              <w:tabs>
                <w:tab w:val="left" w:pos="180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661F35">
              <w:rPr>
                <w:rFonts w:cs="Times New Roman"/>
                <w:sz w:val="26"/>
                <w:szCs w:val="26"/>
              </w:rPr>
              <w:t>Về việc triển khai thực hiện Bảo hiểm y tế học sinh, sinh viên.</w:t>
            </w:r>
          </w:p>
          <w:p w:rsidR="00661F35" w:rsidRPr="00661F35" w:rsidRDefault="00661F35" w:rsidP="00661F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20" w:type="dxa"/>
          </w:tcPr>
          <w:p w:rsidR="00661F35" w:rsidRPr="00661F35" w:rsidRDefault="00661F35" w:rsidP="00661F35">
            <w:pPr>
              <w:jc w:val="center"/>
              <w:rPr>
                <w:sz w:val="26"/>
                <w:szCs w:val="26"/>
              </w:rPr>
            </w:pPr>
          </w:p>
        </w:tc>
      </w:tr>
    </w:tbl>
    <w:p w:rsidR="00661F35" w:rsidRDefault="00661F35" w:rsidP="00661F35">
      <w:pPr>
        <w:ind w:firstLine="3402"/>
        <w:rPr>
          <w:sz w:val="28"/>
          <w:szCs w:val="28"/>
        </w:rPr>
      </w:pPr>
    </w:p>
    <w:p w:rsidR="00221DA0" w:rsidRDefault="00661F35" w:rsidP="00221DA0">
      <w:pPr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Kính gửi: </w:t>
      </w:r>
    </w:p>
    <w:p w:rsidR="00661F35" w:rsidRPr="00221DA0" w:rsidRDefault="00661F35" w:rsidP="00221D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21DA0">
        <w:rPr>
          <w:sz w:val="28"/>
          <w:szCs w:val="28"/>
        </w:rPr>
        <w:t>Hiệu trưởng trường Tiểu học, THCS</w:t>
      </w:r>
      <w:r w:rsidR="00221DA0">
        <w:rPr>
          <w:sz w:val="28"/>
          <w:szCs w:val="28"/>
        </w:rPr>
        <w:t>, THPT</w:t>
      </w:r>
      <w:r w:rsidR="00221DA0" w:rsidRPr="00221DA0">
        <w:rPr>
          <w:sz w:val="28"/>
          <w:szCs w:val="28"/>
        </w:rPr>
        <w:t>;</w:t>
      </w:r>
    </w:p>
    <w:p w:rsidR="00221DA0" w:rsidRPr="00221DA0" w:rsidRDefault="00221DA0" w:rsidP="00221D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Giám đốc TT.GDTX.</w:t>
      </w:r>
    </w:p>
    <w:p w:rsidR="00221DA0" w:rsidRPr="00661F35" w:rsidRDefault="00221DA0" w:rsidP="00221DA0">
      <w:pPr>
        <w:ind w:firstLine="2552"/>
        <w:rPr>
          <w:sz w:val="28"/>
          <w:szCs w:val="28"/>
        </w:rPr>
      </w:pPr>
    </w:p>
    <w:p w:rsidR="00661F35" w:rsidRDefault="00661F35" w:rsidP="00221DA0">
      <w:pPr>
        <w:pStyle w:val="ListParagraph"/>
        <w:spacing w:before="120" w:after="120"/>
        <w:ind w:left="0" w:firstLine="720"/>
        <w:rPr>
          <w:rFonts w:cs="Times New Roman"/>
          <w:sz w:val="28"/>
          <w:szCs w:val="28"/>
        </w:rPr>
      </w:pPr>
      <w:r w:rsidRPr="00661F35">
        <w:rPr>
          <w:rFonts w:cs="Times New Roman"/>
          <w:bCs/>
          <w:sz w:val="28"/>
          <w:szCs w:val="28"/>
        </w:rPr>
        <w:t>Căn cứ công văn số 4660/BGDĐT-CTHSSV, ngày 10/9/2015 của Bộ Giáo dục và Đào tạo về thực hiện Bảo hiểm y tế học sinh, sinh viên</w:t>
      </w:r>
      <w:r>
        <w:rPr>
          <w:rFonts w:cs="Times New Roman"/>
          <w:bCs/>
          <w:sz w:val="28"/>
          <w:szCs w:val="28"/>
        </w:rPr>
        <w:t xml:space="preserve"> </w:t>
      </w:r>
      <w:r w:rsidRPr="00661F35">
        <w:rPr>
          <w:rFonts w:cs="Times New Roman"/>
          <w:bCs/>
          <w:sz w:val="28"/>
          <w:szCs w:val="28"/>
        </w:rPr>
        <w:t>(BHYT HSSV)</w:t>
      </w:r>
      <w:r>
        <w:rPr>
          <w:rFonts w:cs="Times New Roman"/>
          <w:sz w:val="28"/>
          <w:szCs w:val="28"/>
        </w:rPr>
        <w:t>;</w:t>
      </w:r>
    </w:p>
    <w:p w:rsidR="00661F35" w:rsidRPr="00661F35" w:rsidRDefault="00661F35" w:rsidP="00221DA0">
      <w:pPr>
        <w:tabs>
          <w:tab w:val="left" w:pos="1800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661F35">
        <w:rPr>
          <w:rFonts w:cs="Times New Roman"/>
          <w:sz w:val="28"/>
          <w:szCs w:val="28"/>
        </w:rPr>
        <w:t>Căn cứ công văn số 3053/GDĐT-HSSV ngày 22 tháng 9 năm 2015 của Sở Giáo dục và Đào tạo Thành phố về việc thực hiện Bảo hiểm y tế học sinh, sinh viên.</w:t>
      </w:r>
    </w:p>
    <w:p w:rsidR="00661F35" w:rsidRDefault="00661F35" w:rsidP="00221DA0">
      <w:pPr>
        <w:pStyle w:val="ListParagraph"/>
        <w:spacing w:before="120" w:after="120"/>
        <w:ind w:left="0" w:firstLine="720"/>
        <w:rPr>
          <w:rFonts w:cs="Times New Roman"/>
          <w:bCs/>
          <w:sz w:val="28"/>
          <w:szCs w:val="28"/>
        </w:rPr>
      </w:pPr>
      <w:r w:rsidRPr="00661F35">
        <w:rPr>
          <w:rFonts w:cs="Times New Roman"/>
          <w:sz w:val="28"/>
          <w:szCs w:val="28"/>
        </w:rPr>
        <w:t xml:space="preserve">Để triển khai thực hiện tốt BHYT HSSV, </w:t>
      </w:r>
      <w:r>
        <w:rPr>
          <w:rFonts w:cs="Times New Roman"/>
          <w:bCs/>
          <w:sz w:val="28"/>
          <w:szCs w:val="28"/>
        </w:rPr>
        <w:t>Phòng</w:t>
      </w:r>
      <w:r w:rsidRPr="00661F35">
        <w:rPr>
          <w:rFonts w:cs="Times New Roman"/>
          <w:bCs/>
          <w:sz w:val="28"/>
          <w:szCs w:val="28"/>
        </w:rPr>
        <w:t xml:space="preserve"> Giáo dục và Đào tạo đề nghị </w:t>
      </w:r>
      <w:r>
        <w:rPr>
          <w:rFonts w:cs="Times New Roman"/>
          <w:bCs/>
          <w:sz w:val="28"/>
          <w:szCs w:val="28"/>
        </w:rPr>
        <w:t>Hiệu trưởng các</w:t>
      </w:r>
      <w:r w:rsidRPr="00661F35">
        <w:rPr>
          <w:rFonts w:cs="Times New Roman"/>
          <w:bCs/>
          <w:sz w:val="28"/>
          <w:szCs w:val="28"/>
        </w:rPr>
        <w:t xml:space="preserve"> trường </w:t>
      </w:r>
      <w:r>
        <w:rPr>
          <w:rFonts w:cs="Times New Roman"/>
          <w:bCs/>
          <w:sz w:val="28"/>
          <w:szCs w:val="28"/>
        </w:rPr>
        <w:t>Tiểu học, THCS</w:t>
      </w:r>
      <w:r w:rsidRPr="00661F35">
        <w:rPr>
          <w:rFonts w:cs="Times New Roman"/>
          <w:bCs/>
          <w:sz w:val="28"/>
          <w:szCs w:val="28"/>
        </w:rPr>
        <w:t xml:space="preserve"> thực hiện các hướng dẫn sau:</w:t>
      </w:r>
    </w:p>
    <w:p w:rsidR="00661F35" w:rsidRPr="00661F35" w:rsidRDefault="00661F35" w:rsidP="00221DA0">
      <w:pPr>
        <w:pStyle w:val="ListParagraph"/>
        <w:numPr>
          <w:ilvl w:val="0"/>
          <w:numId w:val="1"/>
        </w:numPr>
        <w:spacing w:before="120" w:after="120"/>
        <w:ind w:left="0" w:firstLine="360"/>
        <w:rPr>
          <w:rFonts w:cs="Times New Roman"/>
          <w:bCs/>
          <w:sz w:val="28"/>
          <w:szCs w:val="28"/>
        </w:rPr>
      </w:pPr>
      <w:r w:rsidRPr="00661F35">
        <w:rPr>
          <w:rFonts w:cs="Times New Roman"/>
          <w:bCs/>
          <w:sz w:val="28"/>
          <w:szCs w:val="28"/>
        </w:rPr>
        <w:t>Để tạo điều kiện thuận lợi cho học sinh tham gia BHYT HSSV, nhà trường thông báo cho phụ huynh, học sinh có thể đóng BHYT HSSV là 6 tháng hoặc 15 tháng</w:t>
      </w:r>
      <w:r w:rsidR="00221DA0">
        <w:rPr>
          <w:rFonts w:cs="Times New Roman"/>
          <w:bCs/>
          <w:sz w:val="28"/>
          <w:szCs w:val="28"/>
        </w:rPr>
        <w:t xml:space="preserve"> (theo công văn hướng dẫn của BHXH)</w:t>
      </w:r>
      <w:r w:rsidRPr="00661F35">
        <w:rPr>
          <w:rFonts w:cs="Times New Roman"/>
          <w:bCs/>
          <w:sz w:val="28"/>
          <w:szCs w:val="28"/>
        </w:rPr>
        <w:t>.</w:t>
      </w:r>
    </w:p>
    <w:p w:rsidR="00661F35" w:rsidRPr="00661F35" w:rsidRDefault="00661F35" w:rsidP="00221DA0">
      <w:pPr>
        <w:pStyle w:val="ListParagraph"/>
        <w:numPr>
          <w:ilvl w:val="0"/>
          <w:numId w:val="1"/>
        </w:numPr>
        <w:spacing w:before="120" w:after="120"/>
        <w:ind w:left="0" w:firstLine="357"/>
        <w:rPr>
          <w:rFonts w:cs="Times New Roman"/>
          <w:bCs/>
          <w:sz w:val="28"/>
          <w:szCs w:val="28"/>
        </w:rPr>
      </w:pPr>
      <w:r w:rsidRPr="00661F35">
        <w:rPr>
          <w:rFonts w:cs="Times New Roman"/>
          <w:bCs/>
          <w:sz w:val="28"/>
          <w:szCs w:val="28"/>
        </w:rPr>
        <w:t xml:space="preserve">Việc chọn nơi đăng ký khám chữa bệnh ban đầu: Nhà trường thông báo cho </w:t>
      </w:r>
      <w:r>
        <w:rPr>
          <w:rFonts w:cs="Times New Roman"/>
          <w:bCs/>
          <w:sz w:val="28"/>
          <w:szCs w:val="28"/>
        </w:rPr>
        <w:t>phụ huynh</w:t>
      </w:r>
      <w:r w:rsidRPr="00661F35">
        <w:rPr>
          <w:rFonts w:cs="Times New Roman"/>
          <w:bCs/>
          <w:sz w:val="28"/>
          <w:szCs w:val="28"/>
        </w:rPr>
        <w:t>, HSSV biết danh sách các cơ sở khám chữa bệnh ban đầu mà BHXH thành phố đã in (khổ giấy A</w:t>
      </w:r>
      <w:r w:rsidRPr="00661F35">
        <w:rPr>
          <w:rFonts w:cs="Times New Roman"/>
          <w:bCs/>
          <w:sz w:val="28"/>
          <w:szCs w:val="28"/>
          <w:vertAlign w:val="subscript"/>
        </w:rPr>
        <w:t>0</w:t>
      </w:r>
      <w:r w:rsidRPr="00661F35">
        <w:rPr>
          <w:rFonts w:cs="Times New Roman"/>
          <w:bCs/>
          <w:sz w:val="28"/>
          <w:szCs w:val="28"/>
        </w:rPr>
        <w:t xml:space="preserve">) gởi đến các đơn vị trường học để </w:t>
      </w:r>
      <w:r>
        <w:rPr>
          <w:rFonts w:cs="Times New Roman"/>
          <w:bCs/>
          <w:sz w:val="28"/>
          <w:szCs w:val="28"/>
        </w:rPr>
        <w:t>phụ huynh</w:t>
      </w:r>
      <w:r w:rsidRPr="00661F35">
        <w:rPr>
          <w:rFonts w:cs="Times New Roman"/>
          <w:bCs/>
          <w:sz w:val="28"/>
          <w:szCs w:val="28"/>
        </w:rPr>
        <w:t xml:space="preserve">, HSSV </w:t>
      </w:r>
      <w:r w:rsidR="00C549AC">
        <w:rPr>
          <w:rFonts w:cs="Times New Roman"/>
          <w:bCs/>
          <w:sz w:val="28"/>
          <w:szCs w:val="28"/>
        </w:rPr>
        <w:t xml:space="preserve">có thể lựa chọn và </w:t>
      </w:r>
      <w:r w:rsidRPr="00661F35">
        <w:rPr>
          <w:rFonts w:cs="Times New Roman"/>
          <w:bCs/>
          <w:sz w:val="28"/>
          <w:szCs w:val="28"/>
        </w:rPr>
        <w:t xml:space="preserve">đăng ký. Nhà trường không bắt </w:t>
      </w:r>
      <w:r w:rsidR="000445DA">
        <w:rPr>
          <w:rFonts w:cs="Times New Roman"/>
          <w:bCs/>
          <w:sz w:val="28"/>
          <w:szCs w:val="28"/>
        </w:rPr>
        <w:t xml:space="preserve">buộc </w:t>
      </w:r>
      <w:r w:rsidRPr="00661F35">
        <w:rPr>
          <w:rFonts w:cs="Times New Roman"/>
          <w:bCs/>
          <w:sz w:val="28"/>
          <w:szCs w:val="28"/>
        </w:rPr>
        <w:t>PH, HSSV đăng ký các bệnh viện do nhà trường lựa chọn.</w:t>
      </w:r>
    </w:p>
    <w:p w:rsidR="00661F35" w:rsidRDefault="00661F35" w:rsidP="00221DA0">
      <w:pPr>
        <w:pStyle w:val="ListParagraph"/>
        <w:numPr>
          <w:ilvl w:val="0"/>
          <w:numId w:val="1"/>
        </w:numPr>
        <w:spacing w:before="120" w:after="120"/>
        <w:ind w:left="0" w:firstLine="357"/>
        <w:rPr>
          <w:rFonts w:cs="Times New Roman"/>
          <w:sz w:val="28"/>
          <w:szCs w:val="28"/>
        </w:rPr>
      </w:pPr>
      <w:r w:rsidRPr="00661F35">
        <w:rPr>
          <w:rFonts w:cs="Times New Roman"/>
          <w:bCs/>
          <w:sz w:val="28"/>
          <w:szCs w:val="28"/>
        </w:rPr>
        <w:t>Các đơn vị, trường học không tổ chức thu các loại bảo hiểm tự nguyện</w:t>
      </w:r>
      <w:r w:rsidRPr="00661F35">
        <w:rPr>
          <w:rFonts w:cs="Times New Roman"/>
          <w:sz w:val="28"/>
          <w:szCs w:val="28"/>
        </w:rPr>
        <w:t>./.</w:t>
      </w:r>
    </w:p>
    <w:p w:rsidR="00221DA0" w:rsidRDefault="00221DA0" w:rsidP="00221DA0">
      <w:pPr>
        <w:pStyle w:val="ListParagraph"/>
        <w:spacing w:before="120" w:after="120"/>
        <w:ind w:left="357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8"/>
        <w:gridCol w:w="4453"/>
      </w:tblGrid>
      <w:tr w:rsidR="00221DA0" w:rsidTr="00221DA0">
        <w:tc>
          <w:tcPr>
            <w:tcW w:w="4644" w:type="dxa"/>
          </w:tcPr>
          <w:p w:rsidR="00221DA0" w:rsidRDefault="00221DA0" w:rsidP="00221DA0">
            <w:pPr>
              <w:pStyle w:val="ListParagraph"/>
              <w:spacing w:before="120" w:after="120"/>
              <w:ind w:left="0"/>
              <w:rPr>
                <w:rFonts w:cs="Times New Roman"/>
                <w:b/>
              </w:rPr>
            </w:pPr>
            <w:r w:rsidRPr="00221DA0">
              <w:rPr>
                <w:rFonts w:cs="Times New Roman"/>
                <w:b/>
                <w:sz w:val="24"/>
                <w:szCs w:val="24"/>
              </w:rPr>
              <w:t xml:space="preserve">Nơi nhận: </w:t>
            </w:r>
          </w:p>
          <w:p w:rsidR="00221DA0" w:rsidRPr="00221DA0" w:rsidRDefault="00221DA0" w:rsidP="00221DA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Times New Roman"/>
              </w:rPr>
            </w:pPr>
            <w:r w:rsidRPr="00221DA0">
              <w:rPr>
                <w:rFonts w:cs="Times New Roman"/>
              </w:rPr>
              <w:t>Trường TH, THCS, THPT;</w:t>
            </w:r>
          </w:p>
          <w:p w:rsidR="00221DA0" w:rsidRPr="00221DA0" w:rsidRDefault="00221DA0" w:rsidP="00221DA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Times New Roman"/>
              </w:rPr>
            </w:pPr>
            <w:r w:rsidRPr="00221DA0">
              <w:rPr>
                <w:rFonts w:cs="Times New Roman"/>
              </w:rPr>
              <w:t>TT.GDTX;</w:t>
            </w:r>
          </w:p>
          <w:p w:rsidR="00221DA0" w:rsidRPr="00221DA0" w:rsidRDefault="00221DA0" w:rsidP="00221DA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Times New Roman"/>
              </w:rPr>
            </w:pPr>
            <w:r w:rsidRPr="00221DA0">
              <w:rPr>
                <w:rFonts w:cs="Times New Roman"/>
              </w:rPr>
              <w:t>Lưu VT.</w:t>
            </w:r>
          </w:p>
          <w:p w:rsidR="00221DA0" w:rsidRDefault="00221DA0" w:rsidP="00221DA0">
            <w:pPr>
              <w:pStyle w:val="ListParagraph"/>
              <w:spacing w:before="120" w:after="12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21DA0" w:rsidRPr="00221DA0" w:rsidRDefault="00221DA0" w:rsidP="00221DA0">
            <w:pPr>
              <w:pStyle w:val="ListParagraph"/>
              <w:spacing w:before="120" w:after="12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1DA0">
              <w:rPr>
                <w:rFonts w:cs="Times New Roman"/>
                <w:b/>
                <w:sz w:val="28"/>
                <w:szCs w:val="28"/>
              </w:rPr>
              <w:t>KT.TRƯỞNG PHÒNG</w:t>
            </w:r>
          </w:p>
          <w:p w:rsidR="00221DA0" w:rsidRPr="00221DA0" w:rsidRDefault="00221DA0" w:rsidP="00221DA0">
            <w:pPr>
              <w:pStyle w:val="ListParagraph"/>
              <w:spacing w:before="120" w:after="12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1DA0">
              <w:rPr>
                <w:rFonts w:cs="Times New Roman"/>
                <w:b/>
                <w:sz w:val="28"/>
                <w:szCs w:val="28"/>
              </w:rPr>
              <w:t>PHÓ TRƯỞNG PHÒNG</w:t>
            </w:r>
          </w:p>
          <w:p w:rsidR="00221DA0" w:rsidRPr="00221DA0" w:rsidRDefault="00221DA0" w:rsidP="00221DA0">
            <w:pPr>
              <w:pStyle w:val="ListParagraph"/>
              <w:spacing w:before="120" w:after="12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21DA0" w:rsidRDefault="00FF6A47" w:rsidP="00221DA0">
            <w:pPr>
              <w:pStyle w:val="ListParagraph"/>
              <w:spacing w:before="120" w:after="12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Đã ký</w:t>
            </w:r>
          </w:p>
          <w:p w:rsidR="00596BFC" w:rsidRDefault="00596BFC" w:rsidP="00221DA0">
            <w:pPr>
              <w:pStyle w:val="ListParagraph"/>
              <w:spacing w:before="120" w:after="12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F03D1" w:rsidRPr="00221DA0" w:rsidRDefault="00FF03D1" w:rsidP="00221DA0">
            <w:pPr>
              <w:pStyle w:val="ListParagraph"/>
              <w:spacing w:before="120" w:after="12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21DA0" w:rsidRPr="00221DA0" w:rsidRDefault="00221DA0" w:rsidP="00221DA0">
            <w:pPr>
              <w:pStyle w:val="ListParagraph"/>
              <w:spacing w:before="120" w:after="12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21DA0" w:rsidRDefault="00221DA0" w:rsidP="00221DA0">
            <w:pPr>
              <w:pStyle w:val="ListParagraph"/>
              <w:spacing w:before="120" w:after="12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21DA0">
              <w:rPr>
                <w:rFonts w:cs="Times New Roman"/>
                <w:b/>
                <w:sz w:val="28"/>
                <w:szCs w:val="28"/>
              </w:rPr>
              <w:t>Nguyễn Văn Quí</w:t>
            </w:r>
          </w:p>
        </w:tc>
      </w:tr>
    </w:tbl>
    <w:p w:rsidR="00221DA0" w:rsidRPr="00661F35" w:rsidRDefault="00221DA0" w:rsidP="00221DA0">
      <w:pPr>
        <w:pStyle w:val="ListParagraph"/>
        <w:spacing w:before="120" w:after="120"/>
        <w:ind w:left="357"/>
        <w:rPr>
          <w:rFonts w:cs="Times New Roman"/>
          <w:sz w:val="28"/>
          <w:szCs w:val="28"/>
        </w:rPr>
      </w:pPr>
    </w:p>
    <w:p w:rsidR="00661F35" w:rsidRPr="00661F35" w:rsidRDefault="00661F35" w:rsidP="00221DA0">
      <w:pPr>
        <w:spacing w:before="120" w:after="120"/>
        <w:rPr>
          <w:sz w:val="28"/>
          <w:szCs w:val="28"/>
        </w:rPr>
      </w:pPr>
    </w:p>
    <w:p w:rsidR="00661F35" w:rsidRPr="00661F35" w:rsidRDefault="00661F35">
      <w:pPr>
        <w:rPr>
          <w:sz w:val="28"/>
          <w:szCs w:val="28"/>
        </w:rPr>
      </w:pPr>
    </w:p>
    <w:sectPr w:rsidR="00661F35" w:rsidRPr="00661F35" w:rsidSect="00221DA0">
      <w:pgSz w:w="11907" w:h="16839" w:code="9"/>
      <w:pgMar w:top="1135" w:right="992" w:bottom="397" w:left="1843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6963"/>
    <w:multiLevelType w:val="hybridMultilevel"/>
    <w:tmpl w:val="332C6512"/>
    <w:lvl w:ilvl="0" w:tplc="DE5876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F48C1"/>
    <w:multiLevelType w:val="hybridMultilevel"/>
    <w:tmpl w:val="41B2C06C"/>
    <w:lvl w:ilvl="0" w:tplc="F1A85848">
      <w:start w:val="1"/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1F35"/>
    <w:rsid w:val="00010A41"/>
    <w:rsid w:val="000445DA"/>
    <w:rsid w:val="00090E1D"/>
    <w:rsid w:val="00210BA0"/>
    <w:rsid w:val="00221DA0"/>
    <w:rsid w:val="00233808"/>
    <w:rsid w:val="002A09D5"/>
    <w:rsid w:val="00330290"/>
    <w:rsid w:val="00363C76"/>
    <w:rsid w:val="00381349"/>
    <w:rsid w:val="003B4332"/>
    <w:rsid w:val="00477472"/>
    <w:rsid w:val="004857A8"/>
    <w:rsid w:val="005124EF"/>
    <w:rsid w:val="00596BFC"/>
    <w:rsid w:val="00647BCB"/>
    <w:rsid w:val="00661F35"/>
    <w:rsid w:val="00897191"/>
    <w:rsid w:val="008F6527"/>
    <w:rsid w:val="00926DB2"/>
    <w:rsid w:val="009D6E18"/>
    <w:rsid w:val="00A62DDB"/>
    <w:rsid w:val="00AD5AC5"/>
    <w:rsid w:val="00B27261"/>
    <w:rsid w:val="00B96235"/>
    <w:rsid w:val="00BE3F93"/>
    <w:rsid w:val="00C22D34"/>
    <w:rsid w:val="00C549AC"/>
    <w:rsid w:val="00C6036E"/>
    <w:rsid w:val="00D22E46"/>
    <w:rsid w:val="00D55EEC"/>
    <w:rsid w:val="00D9270D"/>
    <w:rsid w:val="00DA0CFD"/>
    <w:rsid w:val="00F810D6"/>
    <w:rsid w:val="00F92DDB"/>
    <w:rsid w:val="00FF03D1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F3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Tuyen</cp:lastModifiedBy>
  <cp:revision>2</cp:revision>
  <cp:lastPrinted>2015-09-30T01:15:00Z</cp:lastPrinted>
  <dcterms:created xsi:type="dcterms:W3CDTF">2015-09-30T02:32:00Z</dcterms:created>
  <dcterms:modified xsi:type="dcterms:W3CDTF">2015-09-30T02:32:00Z</dcterms:modified>
</cp:coreProperties>
</file>